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EB" w:rsidRPr="00963C99" w:rsidRDefault="00C60AEB" w:rsidP="00C60A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Klebsiella pneumoniae</w:t>
      </w:r>
      <w:r>
        <w:rPr>
          <w:rFonts w:ascii="Arial" w:hAnsi="Arial" w:cs="Arial"/>
          <w:b/>
          <w:sz w:val="36"/>
          <w:szCs w:val="36"/>
        </w:rPr>
        <w:t xml:space="preserve"> (inkl. ESBL) i blododlingar 2020 </w:t>
      </w:r>
    </w:p>
    <w:p w:rsidR="00C60AEB" w:rsidRDefault="00C60AEB" w:rsidP="00C60AEB">
      <w:pPr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r>
        <w:rPr>
          <w:rFonts w:ascii="Arial" w:hAnsi="Arial" w:cs="Arial"/>
          <w:i/>
          <w:sz w:val="24"/>
          <w:szCs w:val="24"/>
        </w:rPr>
        <w:t>Klebsiella pneumoniae</w:t>
      </w:r>
      <w:r>
        <w:rPr>
          <w:rFonts w:ascii="Arial" w:hAnsi="Arial" w:cs="Arial"/>
          <w:sz w:val="24"/>
          <w:szCs w:val="24"/>
        </w:rPr>
        <w:t xml:space="preserve"> i blododlingar 2020: 75 st</w:t>
      </w:r>
    </w:p>
    <w:p w:rsidR="007974B0" w:rsidRDefault="007F5289" w:rsidP="00C60AE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1C0CB3B" wp14:editId="150F2674">
            <wp:extent cx="7900989" cy="4648200"/>
            <wp:effectExtent l="0" t="0" r="508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99610B" w:rsidRDefault="0099610B" w:rsidP="00C60AEB">
      <w:pPr>
        <w:jc w:val="center"/>
      </w:pPr>
    </w:p>
    <w:sectPr w:rsidR="0099610B" w:rsidSect="00C60A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EB"/>
    <w:rsid w:val="007974B0"/>
    <w:rsid w:val="007F5289"/>
    <w:rsid w:val="0099610B"/>
    <w:rsid w:val="009E77D0"/>
    <w:rsid w:val="00C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10AD-4938-4140-8D9B-A028B48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A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K.%20pneumoniae%20i%20blod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2020.xlsx]Diagram!Pivottabell1</c:name>
    <c:fmtId val="45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Diagram!$B$3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Diagram!$A$4:$A$15</c:f>
              <c:strCache>
                <c:ptCount val="11"/>
                <c:pt idx="0">
                  <c:v>Amikacin</c:v>
                </c:pt>
                <c:pt idx="1">
                  <c:v>Cefotaxim</c:v>
                </c:pt>
                <c:pt idx="2">
                  <c:v>Ceftazidim</c:v>
                </c:pt>
                <c:pt idx="3">
                  <c:v>Ciprofloxacin</c:v>
                </c:pt>
                <c:pt idx="4">
                  <c:v>Ertapenem</c:v>
                </c:pt>
                <c:pt idx="5">
                  <c:v>Gentamicin</c:v>
                </c:pt>
                <c:pt idx="6">
                  <c:v>Imipenem</c:v>
                </c:pt>
                <c:pt idx="7">
                  <c:v>Meropenem</c:v>
                </c:pt>
                <c:pt idx="8">
                  <c:v>Piperacillin/Tazobactam</c:v>
                </c:pt>
                <c:pt idx="9">
                  <c:v>Tobramycin</c:v>
                </c:pt>
                <c:pt idx="10">
                  <c:v>Trimethoprim/Sulfa</c:v>
                </c:pt>
              </c:strCache>
            </c:strRef>
          </c:cat>
          <c:val>
            <c:numRef>
              <c:f>Diagram!$B$4:$B$15</c:f>
              <c:numCache>
                <c:formatCode>0.0%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1.3333333333333334E-2</c:v>
                </c:pt>
                <c:pt idx="3">
                  <c:v>1.3333333333333334E-2</c:v>
                </c:pt>
                <c:pt idx="4">
                  <c:v>1.3333333333333334E-2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2.6666666666666668E-2</c:v>
                </c:pt>
                <c:pt idx="9">
                  <c:v>0</c:v>
                </c:pt>
                <c:pt idx="10">
                  <c:v>1.3333333333333334E-2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235384"/>
        <c:axId val="424236952"/>
      </c:barChart>
      <c:catAx>
        <c:axId val="424235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24236952"/>
        <c:crosses val="autoZero"/>
        <c:auto val="1"/>
        <c:lblAlgn val="ctr"/>
        <c:lblOffset val="100"/>
        <c:noMultiLvlLbl val="0"/>
      </c:catAx>
      <c:valAx>
        <c:axId val="42423695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24235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4</cp:revision>
  <dcterms:created xsi:type="dcterms:W3CDTF">2021-01-26T08:42:00Z</dcterms:created>
  <dcterms:modified xsi:type="dcterms:W3CDTF">2021-02-09T07:05:00Z</dcterms:modified>
</cp:coreProperties>
</file>